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B5D" w:rsidRPr="002C0DFD" w:rsidP="00242F59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2C0DFD">
        <w:rPr>
          <w:b w:val="0"/>
          <w:color w:val="000000"/>
          <w:sz w:val="22"/>
          <w:szCs w:val="22"/>
        </w:rPr>
        <w:t>КОПИЯ</w:t>
      </w:r>
    </w:p>
    <w:p w:rsidR="00744B5D" w:rsidRPr="009E39C6" w:rsidP="00242F59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9E39C6">
        <w:rPr>
          <w:b w:val="0"/>
          <w:color w:val="000000"/>
          <w:sz w:val="22"/>
          <w:szCs w:val="22"/>
        </w:rPr>
        <w:t xml:space="preserve">УИД: </w:t>
      </w:r>
      <w:r w:rsidR="00131819">
        <w:rPr>
          <w:b w:val="0"/>
          <w:sz w:val="22"/>
          <w:szCs w:val="22"/>
        </w:rPr>
        <w:t>86MS0026-01-2025-001510-19</w:t>
      </w:r>
    </w:p>
    <w:p w:rsidR="00744B5D" w:rsidRPr="009E39C6" w:rsidP="00242F59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9E39C6">
        <w:rPr>
          <w:b w:val="0"/>
          <w:color w:val="000000"/>
          <w:sz w:val="22"/>
          <w:szCs w:val="22"/>
        </w:rPr>
        <w:t xml:space="preserve">Дело № </w:t>
      </w:r>
      <w:r w:rsidR="00131819">
        <w:rPr>
          <w:b w:val="0"/>
          <w:sz w:val="22"/>
          <w:szCs w:val="22"/>
        </w:rPr>
        <w:t>05-0229/2601/2025</w:t>
      </w:r>
      <w:r w:rsidRPr="009E39C6">
        <w:rPr>
          <w:b w:val="0"/>
          <w:color w:val="000000"/>
          <w:sz w:val="22"/>
          <w:szCs w:val="22"/>
        </w:rPr>
        <w:t xml:space="preserve">   </w:t>
      </w:r>
    </w:p>
    <w:p w:rsidR="00744B5D" w:rsidRPr="002C0DFD" w:rsidP="00242F59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C0DFD">
        <w:rPr>
          <w:b w:val="0"/>
          <w:color w:val="000000"/>
          <w:sz w:val="26"/>
          <w:szCs w:val="26"/>
        </w:rPr>
        <w:t>П О С Т А Н О В Л Е Н И Е</w:t>
      </w:r>
    </w:p>
    <w:p w:rsidR="00744B5D" w:rsidRPr="002C0DFD" w:rsidP="00242F59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C0DFD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744B5D" w:rsidRPr="00592728" w:rsidP="00242F59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744B5D" w:rsidRPr="002C0DFD" w:rsidP="00242F59">
      <w:pPr>
        <w:widowControl w:val="0"/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 xml:space="preserve">город Сургут                                                </w:t>
      </w:r>
      <w:r w:rsidR="00A85544">
        <w:rPr>
          <w:color w:val="000000"/>
          <w:sz w:val="26"/>
          <w:szCs w:val="26"/>
        </w:rPr>
        <w:t xml:space="preserve">                              </w:t>
      </w:r>
      <w:r w:rsidRPr="002C0DFD">
        <w:rPr>
          <w:color w:val="000000"/>
          <w:sz w:val="26"/>
          <w:szCs w:val="26"/>
        </w:rPr>
        <w:t xml:space="preserve">    </w:t>
      </w:r>
      <w:r w:rsidR="00E706D0">
        <w:rPr>
          <w:color w:val="000000"/>
          <w:sz w:val="26"/>
          <w:szCs w:val="26"/>
        </w:rPr>
        <w:t xml:space="preserve">     </w:t>
      </w:r>
      <w:r w:rsidRPr="002C0DFD">
        <w:rPr>
          <w:color w:val="000000"/>
          <w:sz w:val="26"/>
          <w:szCs w:val="26"/>
        </w:rPr>
        <w:t xml:space="preserve">  </w:t>
      </w:r>
      <w:r w:rsidR="00131819">
        <w:rPr>
          <w:color w:val="000000"/>
          <w:sz w:val="26"/>
          <w:szCs w:val="26"/>
        </w:rPr>
        <w:t>28 февраля 2025 года</w:t>
      </w:r>
      <w:r w:rsidRPr="002C0DFD">
        <w:rPr>
          <w:color w:val="000000"/>
          <w:sz w:val="26"/>
          <w:szCs w:val="26"/>
        </w:rPr>
        <w:t xml:space="preserve">                                                                        </w:t>
      </w:r>
    </w:p>
    <w:p w:rsidR="00744B5D" w:rsidRPr="00592728" w:rsidP="00242F59">
      <w:pPr>
        <w:widowControl w:val="0"/>
        <w:spacing w:line="0" w:lineRule="atLeast"/>
        <w:contextualSpacing/>
        <w:rPr>
          <w:sz w:val="10"/>
          <w:szCs w:val="10"/>
        </w:rPr>
      </w:pPr>
      <w:r w:rsidRPr="002C0DFD">
        <w:rPr>
          <w:sz w:val="26"/>
          <w:szCs w:val="26"/>
        </w:rPr>
        <w:t xml:space="preserve">  </w:t>
      </w:r>
    </w:p>
    <w:p w:rsidR="00744B5D" w:rsidRPr="002C0DFD" w:rsidP="00242F59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Pr="002C0DFD">
        <w:rPr>
          <w:color w:val="000000"/>
          <w:sz w:val="26"/>
          <w:szCs w:val="26"/>
        </w:rPr>
        <w:br/>
        <w:t>Панков А.Ю.,</w:t>
      </w:r>
      <w:r w:rsidRPr="002C0DFD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2C0DFD">
        <w:rPr>
          <w:color w:val="000000"/>
          <w:sz w:val="26"/>
          <w:szCs w:val="26"/>
        </w:rPr>
        <w:t xml:space="preserve">, </w:t>
      </w:r>
      <w:r w:rsidRPr="002C0DFD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242F59">
        <w:rPr>
          <w:sz w:val="26"/>
          <w:szCs w:val="26"/>
        </w:rPr>
        <w:t>частью 2 статьи</w:t>
      </w:r>
      <w:r w:rsidR="00131819">
        <w:rPr>
          <w:sz w:val="26"/>
          <w:szCs w:val="26"/>
        </w:rPr>
        <w:t xml:space="preserve"> 12.2</w:t>
      </w:r>
      <w:r w:rsidRPr="002C0DFD">
        <w:rPr>
          <w:bCs/>
          <w:sz w:val="26"/>
          <w:szCs w:val="26"/>
        </w:rPr>
        <w:t xml:space="preserve"> Кодекса Российской Федерации об административных правона</w:t>
      </w:r>
      <w:r w:rsidRPr="002C0DFD">
        <w:rPr>
          <w:bCs/>
          <w:sz w:val="26"/>
          <w:szCs w:val="26"/>
        </w:rPr>
        <w:t>рушениях в отношении</w:t>
      </w:r>
    </w:p>
    <w:p w:rsidR="00744B5D" w:rsidRPr="002C0DFD" w:rsidP="00242F59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Гараева Ильдара Ильдусовича</w:t>
      </w:r>
      <w:r w:rsidRPr="002C0DFD">
        <w:rPr>
          <w:bCs/>
          <w:sz w:val="26"/>
          <w:szCs w:val="26"/>
        </w:rPr>
        <w:t xml:space="preserve">, </w:t>
      </w:r>
      <w:r w:rsidR="00C82923">
        <w:rPr>
          <w:sz w:val="26"/>
          <w:szCs w:val="26"/>
        </w:rPr>
        <w:t>***</w:t>
      </w:r>
    </w:p>
    <w:p w:rsidR="00744B5D" w:rsidP="00242F59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>УСТАНОВИЛ:</w:t>
      </w:r>
    </w:p>
    <w:p w:rsidR="00592728" w:rsidRPr="00592728" w:rsidP="00242F59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131819" w:rsidP="00242F59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усматривается из протокола об административном правонарушении 07.02.2025 в 03 </w:t>
      </w:r>
      <w:r>
        <w:rPr>
          <w:sz w:val="26"/>
          <w:szCs w:val="26"/>
        </w:rPr>
        <w:t xml:space="preserve">час. 00 мин. </w:t>
      </w:r>
      <w:r w:rsidR="009121CD">
        <w:rPr>
          <w:sz w:val="26"/>
          <w:szCs w:val="26"/>
        </w:rPr>
        <w:t>Гараев И.И.</w:t>
      </w:r>
      <w:r>
        <w:rPr>
          <w:sz w:val="26"/>
          <w:szCs w:val="26"/>
        </w:rPr>
        <w:t xml:space="preserve"> </w:t>
      </w:r>
      <w:r w:rsidR="009121CD">
        <w:rPr>
          <w:sz w:val="26"/>
          <w:szCs w:val="26"/>
        </w:rPr>
        <w:t xml:space="preserve">по адресу: </w:t>
      </w:r>
      <w:r w:rsidR="00C82923">
        <w:rPr>
          <w:sz w:val="26"/>
          <w:szCs w:val="26"/>
        </w:rPr>
        <w:t>***</w:t>
      </w:r>
      <w:r>
        <w:rPr>
          <w:sz w:val="26"/>
          <w:szCs w:val="26"/>
        </w:rPr>
        <w:t xml:space="preserve">, управлял транспортным средством – автомобилем марки </w:t>
      </w:r>
      <w:r w:rsidR="00C82923">
        <w:rPr>
          <w:sz w:val="26"/>
          <w:szCs w:val="26"/>
        </w:rPr>
        <w:t>***</w:t>
      </w:r>
      <w:r>
        <w:rPr>
          <w:sz w:val="26"/>
          <w:szCs w:val="26"/>
        </w:rPr>
        <w:t xml:space="preserve">, государственный регистрационный знак </w:t>
      </w:r>
      <w:r w:rsidR="00C82923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9121CD">
        <w:rPr>
          <w:sz w:val="26"/>
          <w:szCs w:val="26"/>
        </w:rPr>
        <w:t>без установленного на предусмотренном для этого месте переднего государственного регистрационного знака</w:t>
      </w:r>
      <w:r>
        <w:rPr>
          <w:sz w:val="26"/>
          <w:szCs w:val="26"/>
        </w:rPr>
        <w:t>, чем нарушил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РФ.</w:t>
      </w:r>
    </w:p>
    <w:p w:rsidR="00131819" w:rsidP="00242F59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Гараев И.И. </w:t>
      </w:r>
      <w:r>
        <w:rPr>
          <w:color w:val="000000"/>
          <w:sz w:val="26"/>
          <w:szCs w:val="26"/>
        </w:rPr>
        <w:t xml:space="preserve">извещен о месте и времени рассмотрения дела об административном правонарушении надлежащим образом, в суд не явился. </w:t>
      </w:r>
    </w:p>
    <w:p w:rsidR="00131819" w:rsidP="00242F59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статьи 25.1 Кодекса Российской Федерации об административных правонарушениях полагаю возможным рассмотреть дело в отсутствие л</w:t>
      </w:r>
      <w:r>
        <w:rPr>
          <w:color w:val="000000"/>
          <w:sz w:val="26"/>
          <w:szCs w:val="26"/>
        </w:rPr>
        <w:t>ица, в отношении которого ведется производство по делу, по доказательствам, имеющимся в деле об административном правонарушении.</w:t>
      </w:r>
    </w:p>
    <w:p w:rsidR="000B167D" w:rsidP="000B16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материалы дела, прихожу к следующим выводам. </w:t>
      </w:r>
    </w:p>
    <w:p w:rsidR="00131819" w:rsidP="000B16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2 ст. 12.2 Кодекса Российской Федерации об администрат</w:t>
      </w:r>
      <w:r>
        <w:rPr>
          <w:sz w:val="26"/>
          <w:szCs w:val="26"/>
        </w:rPr>
        <w:t>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</w:t>
      </w:r>
      <w:r>
        <w:rPr>
          <w:sz w:val="26"/>
          <w:szCs w:val="26"/>
        </w:rPr>
        <w:t>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</w:t>
      </w:r>
      <w:r>
        <w:rPr>
          <w:sz w:val="26"/>
          <w:szCs w:val="26"/>
        </w:rPr>
        <w:t>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131819" w:rsidP="00242F59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п. 2 Основных положений по допуску транспортных средств к эксплуатации и обязанностей должнос</w:t>
      </w:r>
      <w:r>
        <w:rPr>
          <w:sz w:val="26"/>
          <w:szCs w:val="26"/>
        </w:rPr>
        <w:t>тных лиц по обеспечению безопасности дорожного движения Правил дорожного движения, утвержденных Постановлением Правительства Российской Федерации от 23 октября 1993 года № 1090 (далее – Основные положения) на механических транспортных средствах (кроме трам</w:t>
      </w:r>
      <w:r>
        <w:rPr>
          <w:sz w:val="26"/>
          <w:szCs w:val="26"/>
        </w:rPr>
        <w:t>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131819" w:rsidP="00D34F68">
      <w:pPr>
        <w:widowControl w:val="0"/>
        <w:suppressAutoHyphens/>
        <w:autoSpaceDN w:val="0"/>
        <w:spacing w:line="0" w:lineRule="atLeast"/>
        <w:ind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</w:t>
      </w:r>
      <w:r w:rsidR="00D34F68">
        <w:rPr>
          <w:sz w:val="26"/>
          <w:szCs w:val="26"/>
        </w:rPr>
        <w:t>Гараевым</w:t>
      </w:r>
      <w:r w:rsidR="009121CD">
        <w:rPr>
          <w:sz w:val="26"/>
          <w:szCs w:val="26"/>
        </w:rPr>
        <w:t xml:space="preserve"> И.И.</w:t>
      </w:r>
      <w:r>
        <w:rPr>
          <w:sz w:val="26"/>
          <w:szCs w:val="26"/>
        </w:rPr>
        <w:t xml:space="preserve"> административного правонарушения и его вина объективно подтверждаются совокупностью ис</w:t>
      </w:r>
      <w:r>
        <w:rPr>
          <w:sz w:val="26"/>
          <w:szCs w:val="26"/>
        </w:rPr>
        <w:t xml:space="preserve">следованных судом доказательств: </w:t>
      </w:r>
      <w:r w:rsidR="00C82923">
        <w:rPr>
          <w:sz w:val="26"/>
          <w:szCs w:val="26"/>
        </w:rPr>
        <w:t>***</w:t>
      </w:r>
    </w:p>
    <w:p w:rsidR="00606E3C" w:rsidP="00606E3C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 w:rsidR="009121CD">
        <w:rPr>
          <w:sz w:val="26"/>
          <w:szCs w:val="26"/>
        </w:rPr>
        <w:t>Гараева И.И.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виновным в совершении а</w:t>
      </w:r>
      <w:r>
        <w:rPr>
          <w:color w:val="000000"/>
          <w:sz w:val="26"/>
          <w:szCs w:val="26"/>
        </w:rPr>
        <w:t>дминистративного правонарушения.</w:t>
      </w:r>
    </w:p>
    <w:p w:rsidR="00606E3C" w:rsidP="00242F59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Между тем, должностным лицом полиции правонарушение квалифицировано  </w:t>
      </w:r>
      <w:r w:rsidRPr="00606E3C">
        <w:rPr>
          <w:color w:val="000000"/>
          <w:sz w:val="26"/>
          <w:szCs w:val="26"/>
        </w:rPr>
        <w:t>неверно</w:t>
      </w:r>
      <w:r>
        <w:rPr>
          <w:color w:val="000000"/>
          <w:sz w:val="26"/>
          <w:szCs w:val="26"/>
        </w:rPr>
        <w:t xml:space="preserve"> в части описания объективной стороны его совершения.</w:t>
      </w:r>
    </w:p>
    <w:p w:rsidR="00606E3C" w:rsidP="00242F59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Так, в протоколе об административном правонарушении указано, что                         </w:t>
      </w:r>
      <w:r>
        <w:rPr>
          <w:color w:val="000000"/>
          <w:sz w:val="26"/>
          <w:szCs w:val="26"/>
        </w:rPr>
        <w:t>Гараев</w:t>
      </w:r>
      <w:r w:rsidRPr="00606E3C">
        <w:rPr>
          <w:color w:val="000000"/>
          <w:sz w:val="26"/>
          <w:szCs w:val="26"/>
        </w:rPr>
        <w:t xml:space="preserve"> И.И.</w:t>
      </w:r>
      <w:r>
        <w:rPr>
          <w:color w:val="000000"/>
          <w:sz w:val="26"/>
          <w:szCs w:val="26"/>
        </w:rPr>
        <w:t xml:space="preserve"> </w:t>
      </w:r>
      <w:r w:rsidRPr="00606E3C">
        <w:rPr>
          <w:color w:val="000000"/>
          <w:sz w:val="26"/>
          <w:szCs w:val="26"/>
        </w:rPr>
        <w:t>уп</w:t>
      </w:r>
      <w:r>
        <w:rPr>
          <w:color w:val="000000"/>
          <w:sz w:val="26"/>
          <w:szCs w:val="26"/>
        </w:rPr>
        <w:t xml:space="preserve">равлял </w:t>
      </w:r>
      <w:r w:rsidRPr="00606E3C">
        <w:rPr>
          <w:color w:val="000000"/>
          <w:sz w:val="26"/>
          <w:szCs w:val="26"/>
        </w:rPr>
        <w:t>автомобилем без установленного на предусмотренном для этого месте переднего государственного регистрационного знака</w:t>
      </w:r>
      <w:r>
        <w:rPr>
          <w:color w:val="000000"/>
          <w:sz w:val="26"/>
          <w:szCs w:val="26"/>
        </w:rPr>
        <w:t>. При этом, исходя из материалов дела, передний государственный регистрационный знак вообще отсутствовал, то есть</w:t>
      </w:r>
      <w:r w:rsidRPr="00606E3C">
        <w:t xml:space="preserve"> Гараев</w:t>
      </w:r>
      <w:r w:rsidRPr="00606E3C">
        <w:t xml:space="preserve"> И.И. </w:t>
      </w:r>
      <w:r>
        <w:rPr>
          <w:color w:val="000000"/>
          <w:sz w:val="26"/>
          <w:szCs w:val="26"/>
        </w:rPr>
        <w:t>управлял</w:t>
      </w:r>
      <w:r w:rsidRPr="00606E3C">
        <w:rPr>
          <w:color w:val="000000"/>
          <w:sz w:val="26"/>
          <w:szCs w:val="26"/>
        </w:rPr>
        <w:t xml:space="preserve"> транспортн</w:t>
      </w:r>
      <w:r>
        <w:rPr>
          <w:color w:val="000000"/>
          <w:sz w:val="26"/>
          <w:szCs w:val="26"/>
        </w:rPr>
        <w:t>ым средством без переднего государственного регистрационного знака</w:t>
      </w:r>
      <w:r w:rsidR="00C26E36">
        <w:rPr>
          <w:color w:val="000000"/>
          <w:sz w:val="26"/>
          <w:szCs w:val="26"/>
        </w:rPr>
        <w:t xml:space="preserve">, что подлежит устранению в судебном заседании. </w:t>
      </w:r>
      <w:r>
        <w:rPr>
          <w:color w:val="000000"/>
          <w:sz w:val="26"/>
          <w:szCs w:val="26"/>
        </w:rPr>
        <w:t xml:space="preserve"> </w:t>
      </w:r>
    </w:p>
    <w:p w:rsidR="00606E3C" w:rsidRPr="00AE4A4B" w:rsidP="00AE4A4B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Квалификация правонарушения</w:t>
      </w:r>
      <w:r w:rsidR="00AE4A4B">
        <w:rPr>
          <w:color w:val="000000"/>
          <w:sz w:val="26"/>
          <w:szCs w:val="26"/>
        </w:rPr>
        <w:t>,</w:t>
      </w:r>
      <w:r w:rsidRPr="00AE4A4B" w:rsidR="00AE4A4B">
        <w:t xml:space="preserve"> </w:t>
      </w:r>
      <w:r w:rsidR="00AE4A4B">
        <w:rPr>
          <w:color w:val="000000"/>
          <w:sz w:val="26"/>
          <w:szCs w:val="26"/>
        </w:rPr>
        <w:t>предусмотренного</w:t>
      </w:r>
      <w:r w:rsidRPr="00AE4A4B" w:rsidR="00AE4A4B">
        <w:rPr>
          <w:color w:val="000000"/>
          <w:sz w:val="26"/>
          <w:szCs w:val="26"/>
        </w:rPr>
        <w:t xml:space="preserve"> частью 2 статьи 12.2 Кодекса Российской Федерации об административных правонарушениях</w:t>
      </w:r>
      <w:r>
        <w:rPr>
          <w:color w:val="000000"/>
          <w:sz w:val="26"/>
          <w:szCs w:val="26"/>
        </w:rPr>
        <w:t xml:space="preserve"> подлежит изменению </w:t>
      </w:r>
      <w:r w:rsidR="00AE4A4B">
        <w:rPr>
          <w:color w:val="000000"/>
          <w:sz w:val="26"/>
          <w:szCs w:val="26"/>
        </w:rPr>
        <w:t>в части объективной стороны его совершения на управление</w:t>
      </w:r>
      <w:r w:rsidRPr="00AE4A4B" w:rsidR="00AE4A4B">
        <w:rPr>
          <w:color w:val="000000"/>
          <w:sz w:val="26"/>
          <w:szCs w:val="26"/>
        </w:rPr>
        <w:t xml:space="preserve"> Гараев</w:t>
      </w:r>
      <w:r w:rsidR="00AE4A4B">
        <w:rPr>
          <w:color w:val="000000"/>
          <w:sz w:val="26"/>
          <w:szCs w:val="26"/>
        </w:rPr>
        <w:t>ым</w:t>
      </w:r>
      <w:r w:rsidRPr="00AE4A4B" w:rsidR="00AE4A4B">
        <w:rPr>
          <w:color w:val="000000"/>
          <w:sz w:val="26"/>
          <w:szCs w:val="26"/>
        </w:rPr>
        <w:t xml:space="preserve"> И.И. транспортным средством без переднего государственного регистрационного знака</w:t>
      </w:r>
      <w:r w:rsidR="00AE4A4B">
        <w:rPr>
          <w:color w:val="000000"/>
          <w:sz w:val="26"/>
          <w:szCs w:val="26"/>
        </w:rPr>
        <w:t>.</w:t>
      </w:r>
    </w:p>
    <w:p w:rsidR="00D34F68" w:rsidP="00D34F6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действия </w:t>
      </w:r>
      <w:r w:rsidR="009121CD">
        <w:rPr>
          <w:sz w:val="26"/>
          <w:szCs w:val="26"/>
        </w:rPr>
        <w:t>Гараева И.И.</w:t>
      </w:r>
      <w:r>
        <w:rPr>
          <w:sz w:val="26"/>
          <w:szCs w:val="26"/>
        </w:rPr>
        <w:t xml:space="preserve"> квалифицируются по части 2 статьи </w:t>
      </w:r>
      <w:r>
        <w:rPr>
          <w:sz w:val="26"/>
          <w:szCs w:val="26"/>
        </w:rPr>
        <w:t>12.2 Кодекса Российской Федерации об административных правонарушениях как у</w:t>
      </w:r>
      <w:r w:rsidRPr="00D34F68">
        <w:rPr>
          <w:sz w:val="26"/>
          <w:szCs w:val="26"/>
        </w:rPr>
        <w:t>правление транспортным средством без государственных регистрационных знаков</w:t>
      </w:r>
      <w:r>
        <w:rPr>
          <w:sz w:val="26"/>
          <w:szCs w:val="26"/>
        </w:rPr>
        <w:t>.</w:t>
      </w:r>
    </w:p>
    <w:p w:rsidR="00AE4A4B" w:rsidP="00D34F6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AE4A4B">
        <w:rPr>
          <w:sz w:val="26"/>
          <w:szCs w:val="26"/>
        </w:rPr>
        <w:t>Перек</w:t>
      </w:r>
      <w:r>
        <w:rPr>
          <w:sz w:val="26"/>
          <w:szCs w:val="26"/>
        </w:rPr>
        <w:t>валификация действий Гараева И.И.</w:t>
      </w:r>
      <w:r w:rsidRPr="00AE4A4B">
        <w:rPr>
          <w:sz w:val="26"/>
          <w:szCs w:val="26"/>
        </w:rPr>
        <w:t xml:space="preserve"> не противоречит правовой позиции, сформулированной в абзаце 2 п. </w:t>
      </w:r>
      <w:r w:rsidRPr="00AE4A4B">
        <w:rPr>
          <w:sz w:val="26"/>
          <w:szCs w:val="26"/>
        </w:rPr>
        <w:t>20 постановления Пленума Верховного Суда Российской Федерации N 5 от 24 марта 2005 г. "О некоторых вопросах, возникающих у судов при применении Кодекса Российской Федерации об административных правонарушен</w:t>
      </w:r>
      <w:r>
        <w:rPr>
          <w:sz w:val="26"/>
          <w:szCs w:val="26"/>
        </w:rPr>
        <w:t>иях", поскольку административное правонарушение, пр</w:t>
      </w:r>
      <w:r>
        <w:rPr>
          <w:sz w:val="26"/>
          <w:szCs w:val="26"/>
        </w:rPr>
        <w:t>едусмотренное</w:t>
      </w:r>
      <w:r w:rsidRPr="00AE4A4B">
        <w:rPr>
          <w:sz w:val="26"/>
          <w:szCs w:val="26"/>
        </w:rPr>
        <w:t xml:space="preserve"> ч. </w:t>
      </w:r>
      <w:r>
        <w:rPr>
          <w:sz w:val="26"/>
          <w:szCs w:val="26"/>
        </w:rPr>
        <w:t>2 ст. 12.2</w:t>
      </w:r>
      <w:r w:rsidRPr="00AE4A4B"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 имее</w:t>
      </w:r>
      <w:r w:rsidRPr="00AE4A4B">
        <w:rPr>
          <w:sz w:val="26"/>
          <w:szCs w:val="26"/>
        </w:rPr>
        <w:t>т единый родовой объект посягательства, при этом положение лица, в отношении которого ведется производство по делу, не ухудшится.</w:t>
      </w:r>
    </w:p>
    <w:p w:rsidR="00131819" w:rsidP="00242F59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131819" w:rsidP="00242F59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131819" w:rsidP="00242F59">
      <w:pPr>
        <w:tabs>
          <w:tab w:val="left" w:pos="567"/>
        </w:tabs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Обстоятельств, </w:t>
      </w:r>
      <w:r>
        <w:rPr>
          <w:color w:val="000000"/>
          <w:sz w:val="26"/>
          <w:szCs w:val="26"/>
        </w:rPr>
        <w:t>предусмотренных ст. 4.2 КоАП РФ, смягчающих административную ответственность, суд не усматривает.</w:t>
      </w:r>
    </w:p>
    <w:p w:rsidR="00131819" w:rsidP="00242F59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131819" w:rsidP="00242F59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При обсуждении вопроса о назначении </w:t>
      </w:r>
      <w:r>
        <w:rPr>
          <w:sz w:val="26"/>
          <w:szCs w:val="26"/>
        </w:rPr>
        <w:t>вида и р</w:t>
      </w:r>
      <w:r>
        <w:rPr>
          <w:sz w:val="26"/>
          <w:szCs w:val="26"/>
        </w:rPr>
        <w:t xml:space="preserve">азмера наказания суд в соответствии с частью 2 статьи 4.1 КоАП РФ, учитывает характер совершенного административного правонарушения, личность </w:t>
      </w:r>
      <w:r w:rsidR="009121CD">
        <w:rPr>
          <w:sz w:val="26"/>
          <w:szCs w:val="26"/>
        </w:rPr>
        <w:t>Гараева И.И.</w:t>
      </w:r>
      <w:r>
        <w:rPr>
          <w:sz w:val="26"/>
          <w:szCs w:val="26"/>
        </w:rPr>
        <w:t>, отсутствие обстоятельств, смягчающих и отягчающих административную ответственность, обстоятельства с</w:t>
      </w:r>
      <w:r>
        <w:rPr>
          <w:sz w:val="26"/>
          <w:szCs w:val="26"/>
        </w:rPr>
        <w:t xml:space="preserve">овершения административного правонарушения, и полагает возможным назначить </w:t>
      </w:r>
      <w:r w:rsidR="009121CD">
        <w:rPr>
          <w:sz w:val="26"/>
          <w:szCs w:val="26"/>
        </w:rPr>
        <w:t>Гараеву И.И.</w:t>
      </w:r>
      <w:r>
        <w:rPr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131819" w:rsidP="00242F59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</w:t>
      </w:r>
      <w:r>
        <w:rPr>
          <w:sz w:val="26"/>
          <w:szCs w:val="26"/>
        </w:rPr>
        <w:t>ководствуясь ст. 29.10, 29.11 КоАП РФ,</w:t>
      </w:r>
    </w:p>
    <w:p w:rsidR="00131819" w:rsidP="00242F59">
      <w:pPr>
        <w:spacing w:line="0" w:lineRule="atLeast"/>
        <w:ind w:firstLine="709"/>
        <w:contextualSpacing/>
        <w:jc w:val="both"/>
        <w:rPr>
          <w:sz w:val="10"/>
          <w:szCs w:val="10"/>
        </w:rPr>
      </w:pPr>
      <w:r>
        <w:rPr>
          <w:sz w:val="26"/>
          <w:szCs w:val="26"/>
        </w:rPr>
        <w:t xml:space="preserve"> </w:t>
      </w:r>
    </w:p>
    <w:p w:rsidR="00131819" w:rsidP="00242F59">
      <w:pPr>
        <w:spacing w:line="0" w:lineRule="atLeast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131819" w:rsidP="00242F59">
      <w:pPr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131819" w:rsidP="00242F59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9121CD">
        <w:rPr>
          <w:color w:val="000000"/>
          <w:sz w:val="26"/>
          <w:szCs w:val="26"/>
        </w:rPr>
        <w:t>Гараева Ильдара Ильдусовича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2 статьи 12.2 </w:t>
      </w:r>
      <w:r>
        <w:rPr>
          <w:bCs/>
          <w:sz w:val="26"/>
          <w:szCs w:val="26"/>
        </w:rPr>
        <w:t xml:space="preserve">Кодекса </w:t>
      </w:r>
      <w:r>
        <w:rPr>
          <w:bCs/>
          <w:sz w:val="26"/>
          <w:szCs w:val="26"/>
        </w:rPr>
        <w:t>Российской Федерации об административных правонарушениях</w:t>
      </w:r>
      <w:r>
        <w:rPr>
          <w:sz w:val="26"/>
          <w:szCs w:val="26"/>
        </w:rPr>
        <w:t xml:space="preserve"> и подв</w:t>
      </w:r>
      <w:r>
        <w:rPr>
          <w:sz w:val="26"/>
          <w:szCs w:val="26"/>
        </w:rPr>
        <w:t xml:space="preserve">ергнуть административному наказанию </w:t>
      </w:r>
      <w:r>
        <w:rPr>
          <w:color w:val="000080"/>
          <w:sz w:val="26"/>
          <w:szCs w:val="26"/>
        </w:rPr>
        <w:t>в виде штрафа в размере 5 000 (пяти тысяч) рублей.</w:t>
      </w:r>
    </w:p>
    <w:p w:rsidR="00C073B8" w:rsidP="00242F59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оплачивать на номер счета получателя платежа </w:t>
      </w:r>
      <w:r w:rsidR="00C82923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131819" w:rsidP="00242F59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</w:t>
      </w:r>
      <w:r>
        <w:rPr>
          <w:color w:val="000000"/>
          <w:sz w:val="26"/>
          <w:szCs w:val="26"/>
        </w:rPr>
        <w:t>аб. 102.</w:t>
      </w:r>
    </w:p>
    <w:p w:rsidR="00131819" w:rsidP="00242F59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                                ч. 1 ст. 20.25 Кодекса Российской Федерации об административных правонар</w:t>
      </w:r>
      <w:r>
        <w:rPr>
          <w:color w:val="000000"/>
          <w:sz w:val="26"/>
          <w:szCs w:val="26"/>
        </w:rPr>
        <w:t>ушениях.</w:t>
      </w:r>
    </w:p>
    <w:p w:rsidR="00744B5D" w:rsidRPr="002C0DFD" w:rsidP="00242F59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C0DFD">
        <w:rPr>
          <w:sz w:val="26"/>
          <w:szCs w:val="26"/>
        </w:rPr>
        <w:t xml:space="preserve"> 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</w:t>
      </w:r>
      <w:r w:rsidRPr="002C0DFD">
        <w:rPr>
          <w:sz w:val="26"/>
          <w:szCs w:val="26"/>
        </w:rPr>
        <w:t xml:space="preserve"> течение 10 дней со дня вручения или получения копии постановления.</w:t>
      </w:r>
    </w:p>
    <w:p w:rsidR="00744B5D" w:rsidP="00242F59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770EEB" w:rsidP="00242F59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770EEB" w:rsidRPr="002C0DFD" w:rsidP="00242F59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744B5D" w:rsidRPr="002C0DFD" w:rsidP="00242F59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 w:rsidRPr="002C0DFD">
        <w:rPr>
          <w:sz w:val="26"/>
          <w:szCs w:val="26"/>
        </w:rPr>
        <w:t>Мировой судья</w:t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  <w:t>/подпись/</w:t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  <w:t xml:space="preserve">        А.Ю. Панков</w:t>
      </w:r>
    </w:p>
    <w:p w:rsidR="00744B5D" w:rsidP="00242F59">
      <w:pPr>
        <w:widowControl w:val="0"/>
        <w:spacing w:line="0" w:lineRule="atLeast"/>
        <w:ind w:firstLine="708"/>
        <w:contextualSpacing/>
        <w:jc w:val="both"/>
        <w:rPr>
          <w:sz w:val="16"/>
          <w:szCs w:val="16"/>
        </w:rPr>
      </w:pPr>
    </w:p>
    <w:p w:rsidR="00744B5D" w:rsidP="00242F59">
      <w:pPr>
        <w:widowControl w:val="0"/>
        <w:autoSpaceDN w:val="0"/>
        <w:spacing w:line="0" w:lineRule="atLeast"/>
        <w:contextualSpacing/>
        <w:jc w:val="both"/>
      </w:pPr>
    </w:p>
    <w:p w:rsidR="00744B5D" w:rsidP="00242F59">
      <w:pPr>
        <w:widowControl w:val="0"/>
        <w:autoSpaceDN w:val="0"/>
        <w:spacing w:line="0" w:lineRule="atLeast"/>
        <w:contextualSpacing/>
        <w:jc w:val="both"/>
      </w:pPr>
    </w:p>
    <w:p w:rsidR="009121CD" w:rsidP="00242F59">
      <w:pPr>
        <w:widowControl w:val="0"/>
        <w:autoSpaceDN w:val="0"/>
        <w:spacing w:line="0" w:lineRule="atLeast"/>
        <w:contextualSpacing/>
        <w:jc w:val="both"/>
      </w:pPr>
    </w:p>
    <w:p w:rsidR="009121CD" w:rsidP="00242F59">
      <w:pPr>
        <w:widowControl w:val="0"/>
        <w:autoSpaceDN w:val="0"/>
        <w:spacing w:line="0" w:lineRule="atLeast"/>
        <w:contextualSpacing/>
        <w:jc w:val="both"/>
      </w:pPr>
    </w:p>
    <w:p w:rsidR="009121CD" w:rsidP="00744B5D">
      <w:pPr>
        <w:widowControl w:val="0"/>
        <w:autoSpaceDN w:val="0"/>
        <w:spacing w:line="216" w:lineRule="auto"/>
        <w:jc w:val="both"/>
      </w:pPr>
    </w:p>
    <w:sectPr w:rsidSect="00242F59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16379107"/>
      <w:docPartObj>
        <w:docPartGallery w:val="Page Numbers (Bottom of Page)"/>
        <w:docPartUnique/>
      </w:docPartObj>
    </w:sdtPr>
    <w:sdtContent>
      <w:p w:rsidR="00242F5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923">
          <w:rPr>
            <w:noProof/>
          </w:rPr>
          <w:t>2</w:t>
        </w:r>
        <w:r>
          <w:fldChar w:fldCharType="end"/>
        </w:r>
      </w:p>
    </w:sdtContent>
  </w:sdt>
  <w:p w:rsidR="009121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9121C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9121CD" w:rsidRPr="00744B5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9121CD" w:rsidRPr="00744B5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751BA"/>
    <w:rsid w:val="00086672"/>
    <w:rsid w:val="000944D5"/>
    <w:rsid w:val="00096BB4"/>
    <w:rsid w:val="00097A34"/>
    <w:rsid w:val="000A11D0"/>
    <w:rsid w:val="000A28AC"/>
    <w:rsid w:val="000A3457"/>
    <w:rsid w:val="000A47B1"/>
    <w:rsid w:val="000B167D"/>
    <w:rsid w:val="000D241C"/>
    <w:rsid w:val="000E542D"/>
    <w:rsid w:val="000E664B"/>
    <w:rsid w:val="000F0916"/>
    <w:rsid w:val="000F7989"/>
    <w:rsid w:val="001107DD"/>
    <w:rsid w:val="00113DC6"/>
    <w:rsid w:val="00131819"/>
    <w:rsid w:val="00153A2B"/>
    <w:rsid w:val="00166B61"/>
    <w:rsid w:val="00172840"/>
    <w:rsid w:val="00197FCE"/>
    <w:rsid w:val="001A5FA9"/>
    <w:rsid w:val="00207961"/>
    <w:rsid w:val="00241631"/>
    <w:rsid w:val="00242F59"/>
    <w:rsid w:val="002470BE"/>
    <w:rsid w:val="0025772E"/>
    <w:rsid w:val="00275812"/>
    <w:rsid w:val="00280D0B"/>
    <w:rsid w:val="002A212B"/>
    <w:rsid w:val="002A71E9"/>
    <w:rsid w:val="002C0DFD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61255"/>
    <w:rsid w:val="00476AC4"/>
    <w:rsid w:val="00486F65"/>
    <w:rsid w:val="004A4ED3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2728"/>
    <w:rsid w:val="005946B8"/>
    <w:rsid w:val="005A62C2"/>
    <w:rsid w:val="005D63B8"/>
    <w:rsid w:val="006058F4"/>
    <w:rsid w:val="00606E3C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44B5D"/>
    <w:rsid w:val="00754B91"/>
    <w:rsid w:val="007570F5"/>
    <w:rsid w:val="00770EEB"/>
    <w:rsid w:val="00780C43"/>
    <w:rsid w:val="00781C06"/>
    <w:rsid w:val="007B04CD"/>
    <w:rsid w:val="007D1A54"/>
    <w:rsid w:val="008062EB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21CD"/>
    <w:rsid w:val="00930202"/>
    <w:rsid w:val="00941DDE"/>
    <w:rsid w:val="00950EBC"/>
    <w:rsid w:val="009C5616"/>
    <w:rsid w:val="009E39C6"/>
    <w:rsid w:val="00A01710"/>
    <w:rsid w:val="00A502B5"/>
    <w:rsid w:val="00A6231C"/>
    <w:rsid w:val="00A85544"/>
    <w:rsid w:val="00A91075"/>
    <w:rsid w:val="00AC0378"/>
    <w:rsid w:val="00AC4626"/>
    <w:rsid w:val="00AE4A4B"/>
    <w:rsid w:val="00AF2AFA"/>
    <w:rsid w:val="00B07E61"/>
    <w:rsid w:val="00B24373"/>
    <w:rsid w:val="00B31C92"/>
    <w:rsid w:val="00B3272A"/>
    <w:rsid w:val="00B46D85"/>
    <w:rsid w:val="00B83CE2"/>
    <w:rsid w:val="00B921AF"/>
    <w:rsid w:val="00BC2E59"/>
    <w:rsid w:val="00BD3407"/>
    <w:rsid w:val="00C056A0"/>
    <w:rsid w:val="00C073B8"/>
    <w:rsid w:val="00C1157C"/>
    <w:rsid w:val="00C26E36"/>
    <w:rsid w:val="00C34040"/>
    <w:rsid w:val="00C75973"/>
    <w:rsid w:val="00C77DF5"/>
    <w:rsid w:val="00C82923"/>
    <w:rsid w:val="00C836A8"/>
    <w:rsid w:val="00CB3181"/>
    <w:rsid w:val="00CF0A9B"/>
    <w:rsid w:val="00D05236"/>
    <w:rsid w:val="00D17F2B"/>
    <w:rsid w:val="00D34F68"/>
    <w:rsid w:val="00D64649"/>
    <w:rsid w:val="00D65F02"/>
    <w:rsid w:val="00DE01F2"/>
    <w:rsid w:val="00DE768E"/>
    <w:rsid w:val="00DF199D"/>
    <w:rsid w:val="00E12323"/>
    <w:rsid w:val="00E34E9E"/>
    <w:rsid w:val="00E40710"/>
    <w:rsid w:val="00E41170"/>
    <w:rsid w:val="00E706D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B47C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9D065BB-EE25-42DD-9DB0-8DD1FCD1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4B5D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744B5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744B5D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744B5D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744B5D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242F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